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w:t>
      </w:r>
      <w:r w:rsidRPr="00000000" w:rsidR="00000000" w:rsidDel="00000000">
        <w:rPr>
          <w:rtl w:val="0"/>
        </w:rPr>
        <w:t xml:space="preserve">use case</w:t>
      </w:r>
      <w:r w:rsidRPr="00000000" w:rsidR="00000000" w:rsidDel="00000000">
        <w:rPr>
          <w:rtl w:val="0"/>
        </w:rPr>
        <w:t xml:space="preserv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i w:val="1"/>
          <w:rtl w:val="0"/>
        </w:rPr>
        <w:t xml:space="preserve">Example from the report of the Task Force on Hierarchical Objects </w:t>
      </w:r>
      <w:hyperlink r:id="rId5">
        <w:r w:rsidRPr="00000000" w:rsidR="00000000" w:rsidDel="00000000">
          <w:rPr>
            <w:b w:val="1"/>
            <w:i w:val="1"/>
            <w:color w:val="1155cc"/>
            <w:u w:val="single"/>
            <w:rtl w:val="0"/>
          </w:rPr>
          <w:t xml:space="preserve">http://pro.europeana.eu/web/network/europeana-tech/-/wiki/Main/Taskforce+on+hierarchical+objects</w:t>
        </w:r>
      </w:hyperlink>
      <w:r w:rsidRPr="00000000" w:rsidR="00000000" w:rsidDel="00000000">
        <w:rPr>
          <w:b w:val="1"/>
          <w:i w:val="1"/>
          <w:rtl w:val="0"/>
        </w:rPr>
        <w:t xml:space="preserve"> written by Rodolphe Bailly, Cité de la Musique. </w:t>
      </w:r>
    </w:p>
    <w:p w:rsidP="00000000" w:rsidRPr="00000000" w:rsidR="00000000" w:rsidDel="00000000" w:rsidRDefault="00000000">
      <w:pPr>
        <w:ind w:left="0" w:firstLine="0"/>
        <w:contextualSpacing w:val="0"/>
        <w:rPr/>
      </w:pPr>
      <w:r w:rsidRPr="00000000" w:rsidR="00000000" w:rsidDel="00000000">
        <w:rPr>
          <w:i w:val="1"/>
          <w:rtl w:val="0"/>
        </w:rPr>
        <w:t xml:space="preserve">At the Cité de la musique, a concert recording is documented as a hierarchy of records.</w:t>
      </w:r>
    </w:p>
    <w:p w:rsidP="00000000" w:rsidRPr="00000000" w:rsidR="00000000" w:rsidDel="00000000" w:rsidRDefault="00000000">
      <w:pPr>
        <w:ind w:left="0" w:firstLine="0"/>
        <w:contextualSpacing w:val="0"/>
        <w:rPr/>
      </w:pPr>
      <w:r w:rsidRPr="00000000" w:rsidR="00000000" w:rsidDel="00000000">
        <w:rPr>
          <w:i w:val="1"/>
          <w:rtl w:val="0"/>
        </w:rPr>
        <w:t xml:space="preserve">The first, top level record describes the "concert". It contains general information about the recording of the concert itself, such as title, date, location and the most important performers and composers. The other records describe the "constituents" of the concert, i.e. the musical works performed during the concert. Each of these constituent, situated at a lower level of the hierarchy, contains detailed information about the performed musical works (for instance the complete list of performers). If needed, each of the performed musical work record may also have constituent records, such as specific parts in a symphony.</w:t>
      </w:r>
    </w:p>
    <w:p w:rsidP="00000000" w:rsidRPr="00000000" w:rsidR="00000000" w:rsidDel="00000000" w:rsidRDefault="00000000">
      <w:pPr>
        <w:ind w:left="0" w:firstLine="0"/>
        <w:contextualSpacing w:val="0"/>
        <w:rPr/>
      </w:pPr>
      <w:r w:rsidRPr="00000000" w:rsidR="00000000" w:rsidDel="00000000">
        <w:rPr>
          <w:i w:val="1"/>
          <w:rtl w:val="0"/>
        </w:rPr>
        <w:t xml:space="preserve">This concert recording can be represented as follow:</w:t>
      </w:r>
    </w:p>
    <w:p w:rsidP="00000000" w:rsidRPr="00000000" w:rsidR="00000000" w:rsidDel="00000000" w:rsidRDefault="00000000">
      <w:pPr>
        <w:ind w:left="0" w:firstLine="0"/>
        <w:contextualSpacing w:val="0"/>
        <w:jc w:val="center"/>
        <w:rPr/>
      </w:pPr>
      <w:r w:rsidRPr="00000000" w:rsidR="00000000" w:rsidDel="00000000">
        <w:rPr>
          <w:rtl w:val="0"/>
        </w:rPr>
        <w:t xml:space="preserve"> </w:t>
      </w:r>
      <w:r w:rsidRPr="00000000" w:rsidR="00000000" w:rsidDel="00000000">
        <w:drawing>
          <wp:inline distR="114300" distT="114300" distB="114300" distL="114300">
            <wp:extent cy="4280221" cx="4572529"/>
            <wp:effectExtent t="0" b="0" r="0" l="0"/>
            <wp:docPr id="3" name="image02.jpg" descr="toto.jpg"/>
            <a:graphic>
              <a:graphicData uri="http://schemas.openxmlformats.org/drawingml/2006/picture">
                <pic:pic>
                  <pic:nvPicPr>
                    <pic:cNvPr id="0" name="image02.jpg" descr="toto.jpg"/>
                    <pic:cNvPicPr preferRelativeResize="0"/>
                  </pic:nvPicPr>
                  <pic:blipFill>
                    <a:blip r:embed="rId6"/>
                    <a:srcRect t="0" b="0" r="0" l="0"/>
                    <a:stretch>
                      <a:fillRect/>
                    </a:stretch>
                  </pic:blipFill>
                  <pic:spPr>
                    <a:xfrm>
                      <a:ext cy="4280221" cx="4572529"/>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 </w:t>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Data sample illustrating the use case</w:t>
      </w:r>
    </w:p>
    <w:p w:rsidP="00000000" w:rsidRPr="00000000" w:rsidR="00000000" w:rsidDel="00000000" w:rsidRDefault="00000000">
      <w:pPr>
        <w:ind w:left="0" w:firstLine="0"/>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ind w:left="0" w:firstLine="0"/>
        <w:contextualSpacing w:val="0"/>
      </w:pPr>
      <w:r w:rsidRPr="00000000" w:rsidR="00000000" w:rsidDel="00000000">
        <w:rPr>
          <w:i w:val="1"/>
          <w:rtl w:val="0"/>
        </w:rPr>
        <w:t xml:space="preserve">Upload your data sample(s) at </w:t>
      </w:r>
      <w:hyperlink r:id="rId7">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ind w:left="0" w:firstLine="0"/>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ind w:left="0" w:firstLine="0"/>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Vocabularies</w:t>
      </w:r>
    </w:p>
    <w:p w:rsidP="00000000" w:rsidRPr="00000000" w:rsidR="00000000" w:rsidDel="00000000" w:rsidRDefault="00000000">
      <w:pPr>
        <w:ind w:left="0" w:firstLine="0"/>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ind w:left="0" w:firstLine="0"/>
        <w:contextualSpacing w:val="0"/>
      </w:pPr>
      <w:r w:rsidRPr="00000000" w:rsidR="00000000" w:rsidDel="00000000">
        <w:rPr>
          <w:i w:val="1"/>
          <w:rtl w:val="0"/>
        </w:rPr>
        <w:t xml:space="preserve"> If not go to question 11. </w:t>
      </w:r>
    </w:p>
    <w:p w:rsidP="00000000" w:rsidRPr="00000000" w:rsidR="00000000" w:rsidDel="00000000" w:rsidRDefault="00000000">
      <w:pPr>
        <w:ind w:left="0" w:firstLine="0"/>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ind w:left="0" w:firstLine="0"/>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w:t>
      </w: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i w:val="1"/>
          <w:rtl w:val="0"/>
        </w:rPr>
        <w:t xml:space="preserve">Copy and paste an example in the questionnaire or upload your vocabulary sample at  </w:t>
      </w:r>
      <w:hyperlink r:id="rId8">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9"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2"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1"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media/image02.jpg" Type="http://schemas.openxmlformats.org/officeDocument/2006/relationships/image" Id="rId6"/><Relationship Target="http://pro.europeana.eu/web/network/europeana-tech/-/wiki/Main/Taskforce+on+hierarchical+objects" Type="http://schemas.openxmlformats.org/officeDocument/2006/relationships/hyperlink" TargetMode="External" Id="rId5"/><Relationship Target="https://drive.google.com/folderview?id=0B4N3jJ2PToabWU1scDVFZGVKVEU&amp;usp=sharing" Type="http://schemas.openxmlformats.org/officeDocument/2006/relationships/hyperlink" TargetMode="External" Id="rId8"/><Relationship Target="https://drive.google.com/folderview?id=0B4N3jJ2PToabWU1scDVFZGVKVEU&amp;usp=sharin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cp:coreProperties>
</file>